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98DE" w14:textId="77777777" w:rsidR="00245650" w:rsidRPr="00D15E19" w:rsidRDefault="00245650" w:rsidP="00245650">
      <w:pPr>
        <w:rPr>
          <w:rFonts w:asciiTheme="majorHAnsi" w:hAnsiTheme="majorHAnsi" w:cs="Tahoma"/>
          <w:b/>
          <w:color w:val="000000" w:themeColor="text1"/>
          <w:lang w:eastAsia="ja-JP"/>
        </w:rPr>
      </w:pPr>
      <w:r w:rsidRPr="00D15E19">
        <w:rPr>
          <w:rFonts w:asciiTheme="majorHAnsi" w:hAnsiTheme="majorHAnsi" w:cs="Tahoma"/>
          <w:b/>
          <w:color w:val="000000" w:themeColor="text1"/>
          <w:lang w:eastAsia="ja-JP"/>
        </w:rPr>
        <w:t xml:space="preserve">BENGglas Single Coated – </w:t>
      </w:r>
      <w:proofErr w:type="spellStart"/>
      <w:r w:rsidRPr="00D15E19">
        <w:rPr>
          <w:rFonts w:asciiTheme="majorHAnsi" w:hAnsiTheme="majorHAnsi" w:cs="Tahoma"/>
          <w:b/>
          <w:color w:val="000000" w:themeColor="text1"/>
          <w:lang w:eastAsia="ja-JP"/>
        </w:rPr>
        <w:t>vitrage</w:t>
      </w:r>
      <w:proofErr w:type="spellEnd"/>
      <w:r w:rsidRPr="00D15E19">
        <w:rPr>
          <w:rFonts w:asciiTheme="majorHAnsi" w:hAnsiTheme="majorHAnsi" w:cs="Tahoma"/>
          <w:b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="Tahoma"/>
          <w:b/>
          <w:color w:val="000000" w:themeColor="text1"/>
          <w:lang w:eastAsia="ja-JP"/>
        </w:rPr>
        <w:t>isolant</w:t>
      </w:r>
      <w:proofErr w:type="spellEnd"/>
      <w:r w:rsidRPr="00D15E19">
        <w:rPr>
          <w:rFonts w:asciiTheme="majorHAnsi" w:hAnsiTheme="majorHAnsi" w:cs="Tahoma"/>
          <w:b/>
          <w:color w:val="000000" w:themeColor="text1"/>
          <w:lang w:eastAsia="ja-JP"/>
        </w:rPr>
        <w:t xml:space="preserve"> sous vide </w:t>
      </w:r>
      <w:proofErr w:type="spellStart"/>
      <w:r w:rsidRPr="00D15E19">
        <w:rPr>
          <w:rFonts w:asciiTheme="majorHAnsi" w:hAnsiTheme="majorHAnsi" w:cs="Tahoma"/>
          <w:b/>
          <w:color w:val="000000" w:themeColor="text1"/>
          <w:lang w:eastAsia="ja-JP"/>
        </w:rPr>
        <w:t>trempé</w:t>
      </w:r>
      <w:proofErr w:type="spellEnd"/>
      <w:r w:rsidRPr="00D15E19">
        <w:rPr>
          <w:rFonts w:asciiTheme="majorHAnsi" w:hAnsiTheme="majorHAnsi" w:cs="Tahoma"/>
          <w:b/>
          <w:color w:val="000000" w:themeColor="text1"/>
          <w:lang w:eastAsia="ja-JP"/>
        </w:rPr>
        <w:t xml:space="preserve"> à </w:t>
      </w:r>
      <w:proofErr w:type="spellStart"/>
      <w:r w:rsidRPr="00D15E19">
        <w:rPr>
          <w:rFonts w:asciiTheme="majorHAnsi" w:hAnsiTheme="majorHAnsi" w:cs="Tahoma"/>
          <w:b/>
          <w:color w:val="000000" w:themeColor="text1"/>
          <w:lang w:eastAsia="ja-JP"/>
        </w:rPr>
        <w:t>apparence</w:t>
      </w:r>
      <w:proofErr w:type="spellEnd"/>
      <w:r w:rsidRPr="00D15E19">
        <w:rPr>
          <w:rFonts w:asciiTheme="majorHAnsi" w:hAnsiTheme="majorHAnsi" w:cs="Tahoma"/>
          <w:b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="Tahoma"/>
          <w:b/>
          <w:color w:val="000000" w:themeColor="text1"/>
          <w:lang w:eastAsia="ja-JP"/>
        </w:rPr>
        <w:t>neutre</w:t>
      </w:r>
      <w:proofErr w:type="spellEnd"/>
    </w:p>
    <w:p w14:paraId="647B2196" w14:textId="77777777" w:rsidR="00245650" w:rsidRPr="00D15E19" w:rsidRDefault="00245650" w:rsidP="00245650">
      <w:pPr>
        <w:rPr>
          <w:rFonts w:asciiTheme="majorHAnsi" w:hAnsiTheme="majorHAnsi" w:cs="Tahoma"/>
          <w:b/>
          <w:color w:val="000000" w:themeColor="text1"/>
          <w:lang w:eastAsia="ja-JP"/>
        </w:rPr>
      </w:pPr>
    </w:p>
    <w:p w14:paraId="62C46662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Le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isolant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trempé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est un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composé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deux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feuilles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verre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trempé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. Il 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s’agit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d’un verre de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sécurité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offrant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protection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efficace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contre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les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blessures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.</w:t>
      </w:r>
    </w:p>
    <w:p w14:paraId="2398B736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34B964E4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Ce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est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constitué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deux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feuilles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verre extra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clair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séparées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par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cavité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d’environ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0,3mm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d’épaisseur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,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scellée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au moyen d’un joint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métallique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flexible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spécialement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conçu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pour les applications sous vide. Ce joint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métallique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assure la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solidité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et la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durabilité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du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.</w:t>
      </w:r>
    </w:p>
    <w:p w14:paraId="4760433D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53004EC7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Ce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vide, sans orifice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d’évacuation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visible,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intègre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bande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absorbante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dans la zone périphérique du joint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d’étanchéité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.</w:t>
      </w:r>
    </w:p>
    <w:p w14:paraId="4DDB1D68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6A03F4F2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La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cavité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de 0,3mm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d’épaisseur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est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assurée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par la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présence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micro-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entretoises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disposées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sur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trame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55 mm sur toute la surface du verre.</w:t>
      </w:r>
    </w:p>
    <w:p w14:paraId="34D8E3C6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7FA6E011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Un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revêtement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à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faible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émissivité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(low-e) est appliqué sur le verre dans la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cavité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vide.</w:t>
      </w:r>
    </w:p>
    <w:p w14:paraId="3FEEF4C5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4D310880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Principales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propriétés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optiques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et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énergétiques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pour la composition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>suivante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:</w:t>
      </w:r>
    </w:p>
    <w:p w14:paraId="6D1FF5A8" w14:textId="77777777" w:rsidR="00245650" w:rsidRPr="00D15E19" w:rsidRDefault="00245650" w:rsidP="00245650">
      <w:pPr>
        <w:rPr>
          <w:rFonts w:asciiTheme="majorHAnsi" w:hAnsiTheme="majorHAnsi" w:cstheme="minorHAnsi"/>
          <w:bCs/>
          <w:color w:val="000000" w:themeColor="text1"/>
          <w:lang w:val="nl-NL" w:eastAsia="ja-JP"/>
        </w:rPr>
      </w:pPr>
      <w:r w:rsidRPr="00D15E19">
        <w:rPr>
          <w:rFonts w:asciiTheme="majorHAnsi" w:hAnsiTheme="majorHAnsi" w:cstheme="minorHAnsi"/>
          <w:bCs/>
          <w:color w:val="000000" w:themeColor="text1"/>
          <w:lang w:val="nl-NL" w:eastAsia="ja-JP"/>
        </w:rPr>
        <w:t xml:space="preserve">Verre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val="nl-NL" w:eastAsia="ja-JP"/>
        </w:rPr>
        <w:t>trempé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val="nl-NL" w:eastAsia="ja-JP"/>
        </w:rPr>
        <w:t xml:space="preserve"> de 4 mm /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val="nl-NL" w:eastAsia="ja-JP"/>
        </w:rPr>
        <w:t>cavité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val="nl-NL" w:eastAsia="ja-JP"/>
        </w:rPr>
        <w:t xml:space="preserve"> sous vide de 0,3 mm / verre </w:t>
      </w:r>
      <w:proofErr w:type="spellStart"/>
      <w:r w:rsidRPr="00D15E19">
        <w:rPr>
          <w:rFonts w:asciiTheme="majorHAnsi" w:hAnsiTheme="majorHAnsi" w:cstheme="minorHAnsi"/>
          <w:bCs/>
          <w:color w:val="000000" w:themeColor="text1"/>
          <w:lang w:val="nl-NL" w:eastAsia="ja-JP"/>
        </w:rPr>
        <w:t>trempé</w:t>
      </w:r>
      <w:proofErr w:type="spellEnd"/>
      <w:r w:rsidRPr="00D15E19">
        <w:rPr>
          <w:rFonts w:asciiTheme="majorHAnsi" w:hAnsiTheme="majorHAnsi" w:cstheme="minorHAnsi"/>
          <w:bCs/>
          <w:color w:val="000000" w:themeColor="text1"/>
          <w:lang w:val="nl-NL" w:eastAsia="ja-JP"/>
        </w:rPr>
        <w:t xml:space="preserve"> de 4 mm</w:t>
      </w:r>
    </w:p>
    <w:p w14:paraId="7E202217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nl-NL" w:eastAsia="ja-JP"/>
        </w:rPr>
      </w:pPr>
    </w:p>
    <w:tbl>
      <w:tblPr>
        <w:tblStyle w:val="Rastertabel1licht-Accent5"/>
        <w:tblW w:w="9350" w:type="dxa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3C3518" w:rsidRPr="00D15E19" w14:paraId="2519AEC9" w14:textId="77777777" w:rsidTr="00E40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31C8DA7F" w14:textId="77777777" w:rsidR="00245650" w:rsidRPr="00D15E19" w:rsidRDefault="00245650" w:rsidP="00E40DCE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D15E19">
              <w:rPr>
                <w:rFonts w:asciiTheme="majorHAnsi" w:hAnsiTheme="majorHAnsi"/>
                <w:color w:val="000000" w:themeColor="text1"/>
              </w:rPr>
              <w:t>Propriété</w:t>
            </w:r>
            <w:proofErr w:type="spellEnd"/>
          </w:p>
        </w:tc>
        <w:tc>
          <w:tcPr>
            <w:tcW w:w="2337" w:type="dxa"/>
          </w:tcPr>
          <w:p w14:paraId="017303A5" w14:textId="77777777" w:rsidR="00245650" w:rsidRPr="00D15E19" w:rsidRDefault="00245650" w:rsidP="00E40D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/>
                <w:color w:val="000000" w:themeColor="text1"/>
              </w:rPr>
              <w:t>Valeur</w:t>
            </w:r>
          </w:p>
        </w:tc>
        <w:tc>
          <w:tcPr>
            <w:tcW w:w="2365" w:type="dxa"/>
          </w:tcPr>
          <w:p w14:paraId="345F8BB0" w14:textId="77777777" w:rsidR="00245650" w:rsidRPr="00D15E19" w:rsidRDefault="00245650" w:rsidP="00E40D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D15E19">
              <w:rPr>
                <w:rFonts w:asciiTheme="majorHAnsi" w:hAnsiTheme="majorHAnsi"/>
                <w:color w:val="000000" w:themeColor="text1"/>
              </w:rPr>
              <w:t>Unité</w:t>
            </w:r>
            <w:proofErr w:type="spellEnd"/>
          </w:p>
        </w:tc>
        <w:tc>
          <w:tcPr>
            <w:tcW w:w="2068" w:type="dxa"/>
          </w:tcPr>
          <w:p w14:paraId="507EA200" w14:textId="77777777" w:rsidR="00245650" w:rsidRPr="00D15E19" w:rsidRDefault="00245650" w:rsidP="00E40D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  <w:tr w:rsidR="003C3518" w:rsidRPr="00D15E19" w14:paraId="4F14472E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65530978" w14:textId="77777777" w:rsidR="00245650" w:rsidRPr="00D15E19" w:rsidRDefault="00245650" w:rsidP="00E40DCE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>Valeur</w:t>
            </w:r>
            <w:proofErr w:type="spellEnd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 xml:space="preserve"> </w:t>
            </w: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>Ug</w:t>
            </w:r>
            <w:proofErr w:type="spellEnd"/>
          </w:p>
        </w:tc>
        <w:tc>
          <w:tcPr>
            <w:tcW w:w="2337" w:type="dxa"/>
          </w:tcPr>
          <w:p w14:paraId="3D9F2021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0,40*</w:t>
            </w:r>
          </w:p>
        </w:tc>
        <w:tc>
          <w:tcPr>
            <w:tcW w:w="2365" w:type="dxa"/>
          </w:tcPr>
          <w:p w14:paraId="1CA05C2B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4EFCB0B7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EN 674</w:t>
            </w:r>
          </w:p>
        </w:tc>
      </w:tr>
      <w:tr w:rsidR="003C3518" w:rsidRPr="00D15E19" w14:paraId="4A9344DE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7FB7C5D" w14:textId="77777777" w:rsidR="00245650" w:rsidRPr="00D15E19" w:rsidRDefault="00245650" w:rsidP="00E40DCE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Réflection</w:t>
            </w:r>
            <w:proofErr w:type="spellEnd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lumineuse</w:t>
            </w:r>
            <w:proofErr w:type="spellEnd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Extérieure</w:t>
            </w:r>
            <w:proofErr w:type="spellEnd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/ </w:t>
            </w: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Intérieure</w:t>
            </w:r>
            <w:proofErr w:type="spellEnd"/>
          </w:p>
        </w:tc>
        <w:tc>
          <w:tcPr>
            <w:tcW w:w="2337" w:type="dxa"/>
          </w:tcPr>
          <w:p w14:paraId="65DECEA7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12/12</w:t>
            </w:r>
          </w:p>
        </w:tc>
        <w:tc>
          <w:tcPr>
            <w:tcW w:w="2365" w:type="dxa"/>
          </w:tcPr>
          <w:p w14:paraId="2FAAD8D3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%</w:t>
            </w:r>
          </w:p>
        </w:tc>
        <w:tc>
          <w:tcPr>
            <w:tcW w:w="2068" w:type="dxa"/>
          </w:tcPr>
          <w:p w14:paraId="484CEFAB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EN 410</w:t>
            </w:r>
          </w:p>
        </w:tc>
      </w:tr>
      <w:tr w:rsidR="003C3518" w:rsidRPr="00D15E19" w14:paraId="4E4EA2ED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EC5D902" w14:textId="77777777" w:rsidR="00245650" w:rsidRPr="00D15E19" w:rsidRDefault="00245650" w:rsidP="00E40DCE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 xml:space="preserve">Facteur de transmission </w:t>
            </w: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>lumineuse</w:t>
            </w:r>
            <w:proofErr w:type="spellEnd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  <w:lang w:val="nl-NL"/>
              </w:rPr>
              <w:t xml:space="preserve"> (LTA)</w:t>
            </w:r>
          </w:p>
        </w:tc>
        <w:tc>
          <w:tcPr>
            <w:tcW w:w="2337" w:type="dxa"/>
          </w:tcPr>
          <w:p w14:paraId="5722EBD4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78</w:t>
            </w:r>
          </w:p>
        </w:tc>
        <w:tc>
          <w:tcPr>
            <w:tcW w:w="2365" w:type="dxa"/>
          </w:tcPr>
          <w:p w14:paraId="71BE1681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%</w:t>
            </w:r>
          </w:p>
        </w:tc>
        <w:tc>
          <w:tcPr>
            <w:tcW w:w="2068" w:type="dxa"/>
          </w:tcPr>
          <w:p w14:paraId="247241AF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  <w:tr w:rsidR="003C3518" w:rsidRPr="00D15E19" w14:paraId="0FE813FB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39CD3B76" w14:textId="77777777" w:rsidR="00245650" w:rsidRPr="00D15E19" w:rsidRDefault="00245650" w:rsidP="00E40DCE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D15E19">
              <w:rPr>
                <w:rFonts w:asciiTheme="majorHAnsi" w:hAnsiTheme="majorHAnsi"/>
                <w:b w:val="0"/>
                <w:bCs w:val="0"/>
                <w:color w:val="000000" w:themeColor="text1"/>
              </w:rPr>
              <w:t>Facteur</w:t>
            </w:r>
            <w:proofErr w:type="spellEnd"/>
            <w:r w:rsidRPr="00D15E19">
              <w:rPr>
                <w:rFonts w:asciiTheme="majorHAnsi" w:hAnsiTheme="majorHAns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D15E19">
              <w:rPr>
                <w:rFonts w:asciiTheme="majorHAnsi" w:hAnsiTheme="majorHAnsi"/>
                <w:b w:val="0"/>
                <w:bCs w:val="0"/>
                <w:color w:val="000000" w:themeColor="text1"/>
              </w:rPr>
              <w:t>solaire</w:t>
            </w:r>
            <w:proofErr w:type="spellEnd"/>
            <w:r w:rsidRPr="00D15E19">
              <w:rPr>
                <w:rFonts w:asciiTheme="majorHAnsi" w:hAnsiTheme="majorHAnsi"/>
                <w:b w:val="0"/>
                <w:bCs w:val="0"/>
                <w:color w:val="000000" w:themeColor="text1"/>
              </w:rPr>
              <w:t xml:space="preserve"> (</w:t>
            </w:r>
            <w:proofErr w:type="spellStart"/>
            <w:r w:rsidRPr="00D15E19">
              <w:rPr>
                <w:rFonts w:asciiTheme="majorHAnsi" w:hAnsiTheme="majorHAnsi"/>
                <w:b w:val="0"/>
                <w:bCs w:val="0"/>
                <w:color w:val="000000" w:themeColor="text1"/>
              </w:rPr>
              <w:t>valeur</w:t>
            </w:r>
            <w:proofErr w:type="spellEnd"/>
            <w:r w:rsidRPr="00D15E19">
              <w:rPr>
                <w:rFonts w:asciiTheme="majorHAnsi" w:hAnsiTheme="majorHAnsi"/>
                <w:b w:val="0"/>
                <w:bCs w:val="0"/>
                <w:color w:val="000000" w:themeColor="text1"/>
              </w:rPr>
              <w:t xml:space="preserve"> G)</w:t>
            </w:r>
          </w:p>
        </w:tc>
        <w:tc>
          <w:tcPr>
            <w:tcW w:w="2337" w:type="dxa"/>
          </w:tcPr>
          <w:p w14:paraId="116EDDC9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0,58</w:t>
            </w:r>
          </w:p>
        </w:tc>
        <w:tc>
          <w:tcPr>
            <w:tcW w:w="2365" w:type="dxa"/>
          </w:tcPr>
          <w:p w14:paraId="653F192C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-</w:t>
            </w:r>
          </w:p>
        </w:tc>
        <w:tc>
          <w:tcPr>
            <w:tcW w:w="2068" w:type="dxa"/>
          </w:tcPr>
          <w:p w14:paraId="40B58CD1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  <w:tr w:rsidR="003C3518" w:rsidRPr="00D15E19" w14:paraId="21368F15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55346CB" w14:textId="77777777" w:rsidR="00245650" w:rsidRPr="00D15E19" w:rsidRDefault="00245650" w:rsidP="00E40DCE">
            <w:pPr>
              <w:rPr>
                <w:rFonts w:asciiTheme="majorHAnsi" w:hAnsiTheme="majorHAnsi" w:cs="Tahoma"/>
                <w:color w:val="000000" w:themeColor="text1"/>
              </w:rPr>
            </w:pP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Réduction</w:t>
            </w:r>
            <w:proofErr w:type="spellEnd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du bruit</w:t>
            </w:r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br/>
            </w: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Rw</w:t>
            </w:r>
            <w:proofErr w:type="spellEnd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(</w:t>
            </w: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C;ctr</w:t>
            </w:r>
            <w:proofErr w:type="spellEnd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2337" w:type="dxa"/>
          </w:tcPr>
          <w:p w14:paraId="76CFC5F1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1BE9937B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dB</w:t>
            </w:r>
          </w:p>
        </w:tc>
        <w:tc>
          <w:tcPr>
            <w:tcW w:w="2068" w:type="dxa"/>
          </w:tcPr>
          <w:p w14:paraId="6ACBA2EF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ISO 10140-1 / 2  ISO 717-1</w:t>
            </w:r>
          </w:p>
        </w:tc>
      </w:tr>
      <w:tr w:rsidR="003C3518" w:rsidRPr="00D15E19" w14:paraId="5895A11F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51BCD9A" w14:textId="77777777" w:rsidR="00245650" w:rsidRPr="00D15E19" w:rsidRDefault="00245650" w:rsidP="00E40DCE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Épaisseur</w:t>
            </w:r>
            <w:proofErr w:type="spellEnd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D15E19">
              <w:rPr>
                <w:rFonts w:asciiTheme="majorHAnsi" w:hAnsiTheme="majorHAnsi" w:cs="Tahoma"/>
                <w:b w:val="0"/>
                <w:bCs w:val="0"/>
                <w:color w:val="000000" w:themeColor="text1"/>
              </w:rPr>
              <w:t>réelle</w:t>
            </w:r>
            <w:proofErr w:type="spellEnd"/>
          </w:p>
        </w:tc>
        <w:tc>
          <w:tcPr>
            <w:tcW w:w="2337" w:type="dxa"/>
          </w:tcPr>
          <w:p w14:paraId="56AB76E5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8,3</w:t>
            </w:r>
          </w:p>
        </w:tc>
        <w:tc>
          <w:tcPr>
            <w:tcW w:w="2365" w:type="dxa"/>
          </w:tcPr>
          <w:p w14:paraId="0AFD02E4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D15E19">
              <w:rPr>
                <w:rFonts w:asciiTheme="majorHAnsi" w:hAnsiTheme="majorHAnsi" w:cs="Tahoma"/>
                <w:color w:val="000000" w:themeColor="text1"/>
                <w:lang w:val="nl-NL"/>
              </w:rPr>
              <w:t>mm</w:t>
            </w:r>
          </w:p>
        </w:tc>
        <w:tc>
          <w:tcPr>
            <w:tcW w:w="2068" w:type="dxa"/>
          </w:tcPr>
          <w:p w14:paraId="2764942F" w14:textId="77777777" w:rsidR="00245650" w:rsidRPr="00D15E19" w:rsidRDefault="00245650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</w:tbl>
    <w:p w14:paraId="7F52F820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2D05E9F9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nl-NL" w:eastAsia="ja-JP"/>
        </w:rPr>
      </w:pPr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Lien vers la fiche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technique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: </w:t>
      </w:r>
      <w:hyperlink r:id="rId4" w:history="1">
        <w:proofErr w:type="spellStart"/>
        <w:r w:rsidRPr="00D15E19">
          <w:rPr>
            <w:rStyle w:val="Hyperlink"/>
            <w:rFonts w:asciiTheme="majorHAnsi" w:hAnsiTheme="majorHAnsi" w:cs="Tahoma"/>
            <w:color w:val="000000" w:themeColor="text1"/>
            <w:lang w:val="nl-NL" w:eastAsia="ja-JP"/>
          </w:rPr>
          <w:t>ici</w:t>
        </w:r>
        <w:proofErr w:type="spellEnd"/>
      </w:hyperlink>
    </w:p>
    <w:p w14:paraId="56EDC328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7A64BD3B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05BC6943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nl-NL" w:eastAsia="ja-JP"/>
        </w:rPr>
      </w:pP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L’aspect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visuel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du vitrage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est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transparent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et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neutre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des deux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côtés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.</w:t>
      </w:r>
    </w:p>
    <w:p w14:paraId="281EE750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449CB5D7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nl-NL" w:eastAsia="ja-JP"/>
        </w:rPr>
      </w:pP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L’étanchéité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du vitrage sous vide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est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garantie pendant 20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ans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,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conformément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aux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dispositions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du document de garantie du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fabricant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.</w:t>
      </w:r>
    </w:p>
    <w:p w14:paraId="4AF8C169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4420BDD9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nl-NL" w:eastAsia="ja-JP"/>
        </w:rPr>
      </w:pPr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Les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épaisseurs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des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verres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du vitrage sous vide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sont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déterminées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en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fonction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des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dimensions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du vitrage, des charges de vent et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climatiques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, des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contraintes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spécifiques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au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projet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et des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propriétés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mécaniques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  <w:proofErr w:type="spellStart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>inhérentes</w:t>
      </w:r>
      <w:proofErr w:type="spellEnd"/>
      <w:r w:rsidRPr="00D15E19">
        <w:rPr>
          <w:rFonts w:asciiTheme="majorHAnsi" w:hAnsiTheme="majorHAnsi" w:cs="Tahoma"/>
          <w:color w:val="000000" w:themeColor="text1"/>
          <w:lang w:val="nl-NL" w:eastAsia="ja-JP"/>
        </w:rPr>
        <w:t xml:space="preserve"> au vitrage sous vide.</w:t>
      </w:r>
    </w:p>
    <w:p w14:paraId="37200C78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638B1AE1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da-DK"/>
        </w:rPr>
      </w:pPr>
      <w:r w:rsidRPr="00D15E19">
        <w:rPr>
          <w:rFonts w:asciiTheme="majorHAnsi" w:hAnsiTheme="majorHAnsi" w:cs="Tahoma"/>
          <w:color w:val="000000" w:themeColor="text1"/>
          <w:lang w:val="da-DK" w:eastAsia="ja-JP"/>
        </w:rPr>
        <w:t>Valeur U basée sur EN 674:2011 et ISO 19916-1:2018 (ift Rosenheim, 2025).</w:t>
      </w:r>
    </w:p>
    <w:p w14:paraId="6A9307EC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da-DK" w:eastAsia="ja-JP"/>
        </w:rPr>
      </w:pPr>
      <w:r w:rsidRPr="00D15E19">
        <w:rPr>
          <w:rFonts w:asciiTheme="majorHAnsi" w:hAnsiTheme="majorHAnsi"/>
          <w:color w:val="000000" w:themeColor="text1"/>
          <w:lang w:val="da-DK"/>
        </w:rPr>
        <w:br w:type="column"/>
      </w:r>
      <w:r w:rsidRPr="00D15E19">
        <w:rPr>
          <w:rFonts w:asciiTheme="majorHAnsi" w:hAnsiTheme="majorHAnsi" w:cs="Tahoma"/>
          <w:color w:val="000000" w:themeColor="text1"/>
          <w:lang w:val="da-DK" w:eastAsia="ja-JP"/>
        </w:rPr>
        <w:lastRenderedPageBreak/>
        <w:t>____________________________________</w:t>
      </w:r>
    </w:p>
    <w:p w14:paraId="25A3CEF0" w14:textId="77777777" w:rsidR="00245650" w:rsidRPr="00D15E19" w:rsidRDefault="00245650" w:rsidP="00245650">
      <w:pPr>
        <w:rPr>
          <w:rFonts w:asciiTheme="majorHAnsi" w:hAnsiTheme="majorHAnsi" w:cs="Tahoma"/>
          <w:color w:val="000000" w:themeColor="text1"/>
          <w:lang w:val="da-DK" w:eastAsia="ja-JP"/>
        </w:rPr>
      </w:pPr>
    </w:p>
    <w:p w14:paraId="18469DBD" w14:textId="77777777" w:rsidR="00245650" w:rsidRPr="00D15E19" w:rsidRDefault="00245650" w:rsidP="00245650">
      <w:pPr>
        <w:rPr>
          <w:rFonts w:asciiTheme="majorHAnsi" w:hAnsiTheme="majorHAnsi"/>
          <w:b/>
          <w:bCs/>
          <w:color w:val="000000" w:themeColor="text1"/>
          <w:lang w:val="da-DK"/>
        </w:rPr>
      </w:pPr>
      <w:r w:rsidRPr="00D15E19">
        <w:rPr>
          <w:rFonts w:asciiTheme="majorHAnsi" w:hAnsiTheme="majorHAnsi"/>
          <w:b/>
          <w:bCs/>
          <w:color w:val="000000" w:themeColor="text1"/>
          <w:lang w:val="da-DK"/>
        </w:rPr>
        <w:t>Verre sous vide BENGglas – Single Coated – 8,3 mm</w:t>
      </w:r>
    </w:p>
    <w:p w14:paraId="681E1940" w14:textId="77777777" w:rsidR="00245650" w:rsidRPr="00D15E19" w:rsidRDefault="00245650" w:rsidP="00245650">
      <w:pPr>
        <w:rPr>
          <w:rFonts w:asciiTheme="majorHAnsi" w:hAnsiTheme="majorHAnsi"/>
          <w:b/>
          <w:bCs/>
          <w:color w:val="000000" w:themeColor="text1"/>
          <w:lang w:val="da-DK"/>
        </w:rPr>
      </w:pPr>
    </w:p>
    <w:p w14:paraId="65BB91ED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da-DK"/>
        </w:rPr>
      </w:pPr>
      <w:r w:rsidRPr="00D15E19">
        <w:rPr>
          <w:rFonts w:asciiTheme="majorHAnsi" w:hAnsiTheme="majorHAnsi"/>
          <w:color w:val="000000" w:themeColor="text1"/>
          <w:lang w:val="da-DK"/>
        </w:rPr>
        <w:t>épaisseur : 8,3 mm</w:t>
      </w:r>
    </w:p>
    <w:p w14:paraId="67DA1D97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da-DK"/>
        </w:rPr>
      </w:pPr>
      <w:r w:rsidRPr="00D15E19">
        <w:rPr>
          <w:rFonts w:asciiTheme="majorHAnsi" w:hAnsiTheme="majorHAnsi"/>
          <w:color w:val="000000" w:themeColor="text1"/>
          <w:lang w:val="da-DK"/>
        </w:rPr>
        <w:t>poids par m² : 21 kg/m²</w:t>
      </w:r>
    </w:p>
    <w:p w14:paraId="35AE2AA8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  <w:r w:rsidRPr="00D15E19">
        <w:rPr>
          <w:rFonts w:asciiTheme="majorHAnsi" w:hAnsiTheme="majorHAnsi"/>
          <w:color w:val="000000" w:themeColor="text1"/>
          <w:lang w:val="nl-NL"/>
        </w:rPr>
        <w:t>Facteur solaire g : 0,58</w:t>
      </w:r>
    </w:p>
    <w:p w14:paraId="75A75215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  <w:r w:rsidRPr="00D15E19">
        <w:rPr>
          <w:rFonts w:asciiTheme="majorHAnsi" w:hAnsiTheme="majorHAnsi"/>
          <w:color w:val="000000" w:themeColor="text1"/>
          <w:lang w:val="nl-NL"/>
        </w:rPr>
        <w:t>matière première : verre</w:t>
      </w:r>
    </w:p>
    <w:p w14:paraId="2F04F4C7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  <w:r w:rsidRPr="00D15E19">
        <w:rPr>
          <w:rFonts w:asciiTheme="majorHAnsi" w:hAnsiTheme="majorHAnsi"/>
          <w:color w:val="000000" w:themeColor="text1"/>
          <w:lang w:val="nl-NL"/>
        </w:rPr>
        <w:t>réflexion lumineuse intérieure : 12 %</w:t>
      </w:r>
    </w:p>
    <w:p w14:paraId="6C2F4796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  <w:r w:rsidRPr="00D15E19">
        <w:rPr>
          <w:rFonts w:asciiTheme="majorHAnsi" w:hAnsiTheme="majorHAnsi"/>
          <w:color w:val="000000" w:themeColor="text1"/>
          <w:lang w:val="nl-NL"/>
        </w:rPr>
        <w:t>réflexion lumineuse extérieure : 13 %</w:t>
      </w:r>
    </w:p>
    <w:p w14:paraId="6CDA48C4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  <w:r w:rsidRPr="00D15E19">
        <w:rPr>
          <w:rFonts w:asciiTheme="majorHAnsi" w:hAnsiTheme="majorHAnsi"/>
          <w:color w:val="000000" w:themeColor="text1"/>
          <w:lang w:val="nl-NL"/>
        </w:rPr>
        <w:t>valeur LTA : 0,78</w:t>
      </w:r>
    </w:p>
    <w:p w14:paraId="0D266A09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  <w:r w:rsidRPr="00D15E19">
        <w:rPr>
          <w:rFonts w:asciiTheme="majorHAnsi" w:hAnsiTheme="majorHAnsi"/>
          <w:color w:val="000000" w:themeColor="text1"/>
          <w:lang w:val="nl-NL"/>
        </w:rPr>
        <w:t>marque : BENGglas</w:t>
      </w:r>
    </w:p>
    <w:p w14:paraId="15BEA53A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  <w:r w:rsidRPr="00D15E19">
        <w:rPr>
          <w:rFonts w:asciiTheme="majorHAnsi" w:hAnsiTheme="majorHAnsi"/>
          <w:color w:val="000000" w:themeColor="text1"/>
          <w:lang w:val="nl-NL"/>
        </w:rPr>
        <w:t>Produit_composé_générique</w:t>
      </w:r>
    </w:p>
    <w:p w14:paraId="4DD56043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  <w:r w:rsidRPr="00D15E19">
        <w:rPr>
          <w:rFonts w:asciiTheme="majorHAnsi" w:hAnsiTheme="majorHAnsi"/>
          <w:color w:val="000000" w:themeColor="text1"/>
          <w:lang w:val="nl-NL"/>
        </w:rPr>
        <w:t>épaisseur du verre intérieur : 4 mm</w:t>
      </w:r>
    </w:p>
    <w:p w14:paraId="0DDABB0A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  <w:proofErr w:type="spellStart"/>
      <w:r w:rsidRPr="00D15E19">
        <w:rPr>
          <w:rFonts w:asciiTheme="majorHAnsi" w:hAnsiTheme="majorHAnsi"/>
          <w:color w:val="000000" w:themeColor="text1"/>
          <w:lang w:val="nl-NL"/>
        </w:rPr>
        <w:t>épaisseur</w:t>
      </w:r>
      <w:proofErr w:type="spellEnd"/>
      <w:r w:rsidRPr="00D15E19">
        <w:rPr>
          <w:rFonts w:asciiTheme="majorHAnsi" w:hAnsiTheme="majorHAnsi"/>
          <w:color w:val="000000" w:themeColor="text1"/>
          <w:lang w:val="nl-NL"/>
        </w:rPr>
        <w:t xml:space="preserve"> du verre extérieur : 4 mm</w:t>
      </w:r>
    </w:p>
    <w:p w14:paraId="1B463A2A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  <w:proofErr w:type="spellStart"/>
      <w:r w:rsidRPr="00D15E19">
        <w:rPr>
          <w:rFonts w:asciiTheme="majorHAnsi" w:hAnsiTheme="majorHAnsi"/>
          <w:color w:val="000000" w:themeColor="text1"/>
          <w:lang w:val="nl-NL"/>
        </w:rPr>
        <w:t>Rw</w:t>
      </w:r>
      <w:proofErr w:type="spellEnd"/>
      <w:r w:rsidRPr="00D15E19">
        <w:rPr>
          <w:rFonts w:asciiTheme="majorHAnsi" w:hAnsiTheme="majorHAnsi"/>
          <w:color w:val="000000" w:themeColor="text1"/>
          <w:lang w:val="nl-NL"/>
        </w:rPr>
        <w:t xml:space="preserve"> : 36 (-2;-3) dB(A)</w:t>
      </w:r>
    </w:p>
    <w:p w14:paraId="70321454" w14:textId="77777777" w:rsidR="00245650" w:rsidRPr="00D15E19" w:rsidRDefault="00245650" w:rsidP="00245650">
      <w:pPr>
        <w:rPr>
          <w:rFonts w:asciiTheme="majorHAnsi" w:hAnsiTheme="majorHAnsi"/>
          <w:color w:val="000000" w:themeColor="text1"/>
        </w:rPr>
      </w:pPr>
      <w:proofErr w:type="spellStart"/>
      <w:r w:rsidRPr="00D15E19">
        <w:rPr>
          <w:rFonts w:asciiTheme="majorHAnsi" w:hAnsiTheme="majorHAnsi"/>
          <w:color w:val="000000" w:themeColor="text1"/>
        </w:rPr>
        <w:t>série</w:t>
      </w:r>
      <w:proofErr w:type="spellEnd"/>
      <w:r w:rsidRPr="00D15E19">
        <w:rPr>
          <w:rFonts w:asciiTheme="majorHAnsi" w:hAnsiTheme="majorHAnsi"/>
          <w:color w:val="000000" w:themeColor="text1"/>
        </w:rPr>
        <w:t xml:space="preserve"> : Single Coated</w:t>
      </w:r>
    </w:p>
    <w:p w14:paraId="4C42C7C3" w14:textId="77777777" w:rsidR="00245650" w:rsidRPr="00D15E19" w:rsidRDefault="00245650" w:rsidP="00245650">
      <w:pPr>
        <w:rPr>
          <w:rFonts w:asciiTheme="majorHAnsi" w:hAnsiTheme="majorHAnsi"/>
          <w:color w:val="000000" w:themeColor="text1"/>
        </w:rPr>
      </w:pPr>
      <w:proofErr w:type="spellStart"/>
      <w:r w:rsidRPr="00D15E19">
        <w:rPr>
          <w:rFonts w:asciiTheme="majorHAnsi" w:hAnsiTheme="majorHAnsi"/>
          <w:color w:val="000000" w:themeColor="text1"/>
        </w:rPr>
        <w:t>largeur</w:t>
      </w:r>
      <w:proofErr w:type="spellEnd"/>
      <w:r w:rsidRPr="00D15E19">
        <w:rPr>
          <w:rFonts w:asciiTheme="majorHAnsi" w:hAnsiTheme="majorHAnsi"/>
          <w:color w:val="000000" w:themeColor="text1"/>
        </w:rPr>
        <w:t xml:space="preserve"> de la </w:t>
      </w:r>
      <w:proofErr w:type="spellStart"/>
      <w:r w:rsidRPr="00D15E19">
        <w:rPr>
          <w:rFonts w:asciiTheme="majorHAnsi" w:hAnsiTheme="majorHAnsi"/>
          <w:color w:val="000000" w:themeColor="text1"/>
        </w:rPr>
        <w:t>cavité</w:t>
      </w:r>
      <w:proofErr w:type="spellEnd"/>
      <w:r w:rsidRPr="00D15E19">
        <w:rPr>
          <w:rFonts w:asciiTheme="majorHAnsi" w:hAnsiTheme="majorHAnsi"/>
          <w:color w:val="000000" w:themeColor="text1"/>
        </w:rPr>
        <w:t xml:space="preserve"> : 0,3 mm</w:t>
      </w:r>
    </w:p>
    <w:p w14:paraId="38F65763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  <w:proofErr w:type="spellStart"/>
      <w:r w:rsidRPr="00D15E19">
        <w:rPr>
          <w:rFonts w:asciiTheme="majorHAnsi" w:hAnsiTheme="majorHAnsi"/>
          <w:color w:val="000000" w:themeColor="text1"/>
          <w:lang w:val="nl-NL"/>
        </w:rPr>
        <w:t>valeur</w:t>
      </w:r>
      <w:proofErr w:type="spellEnd"/>
      <w:r w:rsidRPr="00D15E19">
        <w:rPr>
          <w:rFonts w:asciiTheme="majorHAnsi" w:hAnsiTheme="majorHAnsi"/>
          <w:color w:val="000000" w:themeColor="text1"/>
          <w:lang w:val="nl-NL"/>
        </w:rPr>
        <w:t xml:space="preserve"> U : 0,5 W/m²·K*</w:t>
      </w:r>
    </w:p>
    <w:p w14:paraId="5D8338BF" w14:textId="77777777" w:rsidR="00245650" w:rsidRPr="00D15E19" w:rsidRDefault="00245650" w:rsidP="00245650">
      <w:pPr>
        <w:rPr>
          <w:rFonts w:asciiTheme="majorHAnsi" w:hAnsiTheme="majorHAnsi"/>
          <w:color w:val="000000" w:themeColor="text1"/>
          <w:lang w:val="nl-NL"/>
        </w:rPr>
      </w:pPr>
    </w:p>
    <w:p w14:paraId="46DF6E0C" w14:textId="0E24D1AE" w:rsidR="00245650" w:rsidRPr="00D15E19" w:rsidRDefault="00245650" w:rsidP="00245650">
      <w:pPr>
        <w:rPr>
          <w:rFonts w:asciiTheme="majorHAnsi" w:hAnsiTheme="majorHAnsi"/>
          <w:color w:val="000000" w:themeColor="text1"/>
        </w:rPr>
      </w:pPr>
      <w:r w:rsidRPr="00D15E19">
        <w:rPr>
          <w:rFonts w:asciiTheme="majorHAnsi" w:hAnsiTheme="majorHAnsi"/>
          <w:color w:val="000000" w:themeColor="text1"/>
        </w:rPr>
        <w:t xml:space="preserve">Valeur U </w:t>
      </w:r>
      <w:proofErr w:type="spellStart"/>
      <w:r w:rsidRPr="00D15E19">
        <w:rPr>
          <w:rFonts w:asciiTheme="majorHAnsi" w:hAnsiTheme="majorHAnsi"/>
          <w:color w:val="000000" w:themeColor="text1"/>
        </w:rPr>
        <w:t>basée</w:t>
      </w:r>
      <w:proofErr w:type="spellEnd"/>
      <w:r w:rsidRPr="00D15E19">
        <w:rPr>
          <w:rFonts w:asciiTheme="majorHAnsi" w:hAnsiTheme="majorHAnsi"/>
          <w:color w:val="000000" w:themeColor="text1"/>
        </w:rPr>
        <w:t xml:space="preserve"> sur EN 674:2011 et ISO 19916-1:2018 (</w:t>
      </w:r>
      <w:proofErr w:type="spellStart"/>
      <w:r w:rsidRPr="00D15E19">
        <w:rPr>
          <w:rFonts w:asciiTheme="majorHAnsi" w:hAnsiTheme="majorHAnsi"/>
          <w:color w:val="000000" w:themeColor="text1"/>
        </w:rPr>
        <w:t>ift</w:t>
      </w:r>
      <w:proofErr w:type="spellEnd"/>
      <w:r w:rsidRPr="00D15E19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D15E19">
        <w:rPr>
          <w:rFonts w:asciiTheme="majorHAnsi" w:hAnsiTheme="majorHAnsi"/>
          <w:color w:val="000000" w:themeColor="text1"/>
        </w:rPr>
        <w:t>Rosenhei</w:t>
      </w:r>
      <w:proofErr w:type="spellEnd"/>
    </w:p>
    <w:sectPr w:rsidR="00245650" w:rsidRPr="00D1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50"/>
    <w:rsid w:val="00036EC6"/>
    <w:rsid w:val="00245650"/>
    <w:rsid w:val="003C3518"/>
    <w:rsid w:val="006F0FBB"/>
    <w:rsid w:val="00D1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C382"/>
  <w15:chartTrackingRefBased/>
  <w15:docId w15:val="{82C0C0D0-4498-493A-90D1-D5CF050F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5650"/>
    <w:pPr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456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56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56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56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56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56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56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56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56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5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5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5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56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56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56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56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56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56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5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45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56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5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56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456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56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456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5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56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5650"/>
    <w:rPr>
      <w:b/>
      <w:bCs/>
      <w:smallCaps/>
      <w:color w:val="0F4761" w:themeColor="accent1" w:themeShade="BF"/>
      <w:spacing w:val="5"/>
    </w:rPr>
  </w:style>
  <w:style w:type="table" w:styleId="Rastertabel1licht-Accent5">
    <w:name w:val="Grid Table 1 Light Accent 5"/>
    <w:basedOn w:val="Standaardtabel"/>
    <w:uiPriority w:val="46"/>
    <w:rsid w:val="00245650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2456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n.bengglas.nl/main/Files/Spec.-Sheets/BENGglas-Single-Coated-datasheet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Matuziak</dc:creator>
  <cp:keywords/>
  <dc:description/>
  <cp:lastModifiedBy>Katja Creutzberg</cp:lastModifiedBy>
  <cp:revision>3</cp:revision>
  <dcterms:created xsi:type="dcterms:W3CDTF">2025-11-10T13:22:00Z</dcterms:created>
  <dcterms:modified xsi:type="dcterms:W3CDTF">2025-12-01T05:28:00Z</dcterms:modified>
</cp:coreProperties>
</file>