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E8EE" w14:textId="77777777" w:rsidR="00CE306D" w:rsidRPr="00C5592A" w:rsidRDefault="00CE306D" w:rsidP="00C5592A">
      <w:pPr>
        <w:rPr>
          <w:rFonts w:asciiTheme="minorHAnsi" w:hAnsiTheme="minorHAnsi" w:cs="Tahoma"/>
          <w:b/>
          <w:color w:val="000000" w:themeColor="text1"/>
          <w:lang w:eastAsia="ja-JP"/>
        </w:rPr>
      </w:pPr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 xml:space="preserve">BENGglas Solar Control – </w:t>
      </w:r>
      <w:proofErr w:type="spellStart"/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>vitrage</w:t>
      </w:r>
      <w:proofErr w:type="spellEnd"/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>isolant</w:t>
      </w:r>
      <w:proofErr w:type="spellEnd"/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 xml:space="preserve"> sous vide </w:t>
      </w:r>
      <w:proofErr w:type="spellStart"/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>trempé</w:t>
      </w:r>
      <w:proofErr w:type="spellEnd"/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 xml:space="preserve"> à </w:t>
      </w:r>
      <w:proofErr w:type="spellStart"/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>contrôle</w:t>
      </w:r>
      <w:proofErr w:type="spellEnd"/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>solaire</w:t>
      </w:r>
      <w:proofErr w:type="spellEnd"/>
      <w:r w:rsidRPr="00C5592A">
        <w:rPr>
          <w:rFonts w:asciiTheme="minorHAnsi" w:hAnsiTheme="minorHAnsi" w:cs="Tahoma"/>
          <w:b/>
          <w:color w:val="000000" w:themeColor="text1"/>
          <w:lang w:eastAsia="ja-JP"/>
        </w:rPr>
        <w:t xml:space="preserve"> G = 0,29</w:t>
      </w:r>
    </w:p>
    <w:p w14:paraId="03B9D419" w14:textId="77777777" w:rsidR="00CE306D" w:rsidRPr="00C5592A" w:rsidRDefault="00CE306D" w:rsidP="00C5592A">
      <w:pPr>
        <w:rPr>
          <w:rFonts w:asciiTheme="minorHAnsi" w:hAnsiTheme="minorHAnsi" w:cs="Tahoma"/>
          <w:color w:val="000000" w:themeColor="text1"/>
          <w:lang w:eastAsia="ja-JP"/>
        </w:rPr>
      </w:pPr>
    </w:p>
    <w:p w14:paraId="2998D2F6" w14:textId="77777777" w:rsidR="00CE306D" w:rsidRPr="00C5592A" w:rsidRDefault="00CE306D" w:rsidP="00C5592A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Le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vitrage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isolant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trempé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est un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vitrage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composé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deux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feuilles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verre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trempé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. Il 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s’agit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d’un verre de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sécurité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offrant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une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protection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efficace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contre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les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blessures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.</w:t>
      </w:r>
    </w:p>
    <w:p w14:paraId="66E1F631" w14:textId="77777777" w:rsidR="00CE306D" w:rsidRPr="00C5592A" w:rsidRDefault="00CE306D" w:rsidP="00C5592A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</w:p>
    <w:p w14:paraId="05AE92F1" w14:textId="77777777" w:rsidR="00CE306D" w:rsidRPr="00C5592A" w:rsidRDefault="00CE306D" w:rsidP="00C5592A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Ce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vitrage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 est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constitué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deux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feuilles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verre extra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clair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séparées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par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une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cavité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d’environ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0,3mm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d’épaisseur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,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scellée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au moyen d’un joint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métallique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flexible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spécialement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conçu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pour les applications sous vide. Ce joint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métallique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assure la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solidité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et la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durabilité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du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vitrage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.</w:t>
      </w:r>
    </w:p>
    <w:p w14:paraId="1547D290" w14:textId="77777777" w:rsidR="00CE306D" w:rsidRPr="00C5592A" w:rsidRDefault="00CE306D" w:rsidP="00C5592A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</w:p>
    <w:p w14:paraId="7F659BD3" w14:textId="77777777" w:rsidR="00CE306D" w:rsidRPr="00C5592A" w:rsidRDefault="00CE306D" w:rsidP="00C5592A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Ce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vitrage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vide, sans orifice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d’évacuation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visible,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intègre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une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bande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absorbante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dans la zone périphérique du joint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d’étanchéité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.</w:t>
      </w:r>
    </w:p>
    <w:p w14:paraId="7817F2B9" w14:textId="77777777" w:rsidR="00CE306D" w:rsidRPr="00C5592A" w:rsidRDefault="00CE306D" w:rsidP="00C5592A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</w:p>
    <w:p w14:paraId="49C793D3" w14:textId="77777777" w:rsidR="00CE306D" w:rsidRPr="00C5592A" w:rsidRDefault="00CE306D" w:rsidP="00C5592A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La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cavité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 de 0,3mm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d’épaisseur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est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assurée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par la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présence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micro-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entretoises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disposées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sur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une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>trame</w:t>
      </w:r>
      <w:proofErr w:type="spellEnd"/>
      <w:r w:rsidRPr="00C5592A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55 mm sur toute la surface du verre.</w:t>
      </w:r>
    </w:p>
    <w:p w14:paraId="087EDFCB" w14:textId="77777777" w:rsidR="00CE306D" w:rsidRPr="00C5592A" w:rsidRDefault="00CE306D" w:rsidP="00C5592A">
      <w:pPr>
        <w:rPr>
          <w:rFonts w:asciiTheme="minorHAnsi" w:hAnsiTheme="minorHAnsi" w:cs="Tahoma"/>
          <w:color w:val="000000" w:themeColor="text1"/>
          <w:lang w:eastAsia="ja-JP"/>
        </w:rPr>
      </w:pPr>
    </w:p>
    <w:p w14:paraId="065C35EF" w14:textId="77777777" w:rsidR="00CE306D" w:rsidRPr="00C5592A" w:rsidRDefault="00CE306D" w:rsidP="00C5592A">
      <w:pPr>
        <w:rPr>
          <w:rFonts w:asciiTheme="minorHAnsi" w:hAnsiTheme="minorHAnsi" w:cs="Tahoma"/>
          <w:color w:val="000000" w:themeColor="text1"/>
          <w:lang w:eastAsia="ja-JP"/>
        </w:rPr>
      </w:pPr>
      <w:r w:rsidRPr="00C5592A">
        <w:rPr>
          <w:rFonts w:asciiTheme="minorHAnsi" w:hAnsiTheme="minorHAnsi" w:cs="Tahoma"/>
          <w:color w:val="000000" w:themeColor="text1"/>
          <w:lang w:eastAsia="ja-JP"/>
        </w:rPr>
        <w:t xml:space="preserve">Un double </w:t>
      </w:r>
      <w:proofErr w:type="spellStart"/>
      <w:r w:rsidRPr="00C5592A">
        <w:rPr>
          <w:rFonts w:asciiTheme="minorHAnsi" w:hAnsiTheme="minorHAnsi" w:cs="Tahoma"/>
          <w:color w:val="000000" w:themeColor="text1"/>
          <w:lang w:eastAsia="ja-JP"/>
        </w:rPr>
        <w:t>revêtement</w:t>
      </w:r>
      <w:proofErr w:type="spellEnd"/>
      <w:r w:rsidRPr="00C5592A">
        <w:rPr>
          <w:rFonts w:asciiTheme="minorHAnsi" w:hAnsiTheme="minorHAnsi" w:cs="Tahoma"/>
          <w:color w:val="000000" w:themeColor="text1"/>
          <w:lang w:eastAsia="ja-JP"/>
        </w:rPr>
        <w:t xml:space="preserve"> de </w:t>
      </w:r>
      <w:proofErr w:type="spellStart"/>
      <w:r w:rsidRPr="00C5592A">
        <w:rPr>
          <w:rFonts w:asciiTheme="minorHAnsi" w:hAnsiTheme="minorHAnsi" w:cs="Tahoma"/>
          <w:color w:val="000000" w:themeColor="text1"/>
          <w:lang w:eastAsia="ja-JP"/>
        </w:rPr>
        <w:t>contrôle</w:t>
      </w:r>
      <w:proofErr w:type="spellEnd"/>
      <w:r w:rsidRPr="00C5592A">
        <w:rPr>
          <w:rFonts w:asciiTheme="minorHAnsi" w:hAnsiTheme="minorHAnsi" w:cs="Tahoma"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eastAsia="ja-JP"/>
        </w:rPr>
        <w:t>solaire</w:t>
      </w:r>
      <w:proofErr w:type="spellEnd"/>
      <w:r w:rsidRPr="00C5592A">
        <w:rPr>
          <w:rFonts w:asciiTheme="minorHAnsi" w:hAnsiTheme="minorHAnsi" w:cs="Tahoma"/>
          <w:color w:val="000000" w:themeColor="text1"/>
          <w:lang w:eastAsia="ja-JP"/>
        </w:rPr>
        <w:t xml:space="preserve"> est appliqué sur le verre dans la </w:t>
      </w:r>
      <w:proofErr w:type="spellStart"/>
      <w:r w:rsidRPr="00C5592A">
        <w:rPr>
          <w:rFonts w:asciiTheme="minorHAnsi" w:hAnsiTheme="minorHAnsi" w:cs="Tahoma"/>
          <w:color w:val="000000" w:themeColor="text1"/>
          <w:lang w:eastAsia="ja-JP"/>
        </w:rPr>
        <w:t>cavité</w:t>
      </w:r>
      <w:proofErr w:type="spellEnd"/>
      <w:r w:rsidRPr="00C5592A">
        <w:rPr>
          <w:rFonts w:asciiTheme="minorHAnsi" w:hAnsiTheme="minorHAnsi" w:cs="Tahoma"/>
          <w:color w:val="000000" w:themeColor="text1"/>
          <w:lang w:eastAsia="ja-JP"/>
        </w:rPr>
        <w:t xml:space="preserve"> sous vide.</w:t>
      </w:r>
    </w:p>
    <w:p w14:paraId="1A8DB45E" w14:textId="77777777" w:rsidR="00CE306D" w:rsidRPr="00C5592A" w:rsidRDefault="00CE306D" w:rsidP="00C5592A">
      <w:pPr>
        <w:rPr>
          <w:rFonts w:asciiTheme="minorHAnsi" w:hAnsiTheme="minorHAnsi" w:cs="Tahoma"/>
          <w:color w:val="000000" w:themeColor="text1"/>
          <w:lang w:eastAsia="ja-JP"/>
        </w:rPr>
      </w:pPr>
    </w:p>
    <w:p w14:paraId="494D49DF" w14:textId="77777777" w:rsidR="00CE306D" w:rsidRPr="00C5592A" w:rsidRDefault="00CE306D" w:rsidP="00C5592A">
      <w:pPr>
        <w:rPr>
          <w:rFonts w:asciiTheme="minorHAnsi" w:hAnsiTheme="minorHAnsi" w:cs="Tahoma"/>
          <w:color w:val="000000" w:themeColor="text1"/>
          <w:lang w:eastAsia="ja-JP"/>
        </w:rPr>
      </w:pPr>
      <w:proofErr w:type="spellStart"/>
      <w:r w:rsidRPr="00C5592A">
        <w:rPr>
          <w:rFonts w:asciiTheme="minorHAnsi" w:hAnsiTheme="minorHAnsi" w:cs="Tahoma"/>
          <w:color w:val="000000" w:themeColor="text1"/>
          <w:lang w:eastAsia="ja-JP"/>
        </w:rPr>
        <w:t>Principales</w:t>
      </w:r>
      <w:proofErr w:type="spellEnd"/>
      <w:r w:rsidRPr="00C5592A">
        <w:rPr>
          <w:rFonts w:asciiTheme="minorHAnsi" w:hAnsiTheme="minorHAnsi" w:cs="Tahoma"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eastAsia="ja-JP"/>
        </w:rPr>
        <w:t>propriétés</w:t>
      </w:r>
      <w:proofErr w:type="spellEnd"/>
      <w:r w:rsidRPr="00C5592A">
        <w:rPr>
          <w:rFonts w:asciiTheme="minorHAnsi" w:hAnsiTheme="minorHAnsi" w:cs="Tahoma"/>
          <w:color w:val="000000" w:themeColor="text1"/>
          <w:lang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eastAsia="ja-JP"/>
        </w:rPr>
        <w:t>optiques</w:t>
      </w:r>
      <w:proofErr w:type="spellEnd"/>
      <w:r w:rsidRPr="00C5592A">
        <w:rPr>
          <w:rFonts w:asciiTheme="minorHAnsi" w:hAnsiTheme="minorHAnsi" w:cs="Tahoma"/>
          <w:color w:val="000000" w:themeColor="text1"/>
          <w:lang w:eastAsia="ja-JP"/>
        </w:rPr>
        <w:t xml:space="preserve"> et </w:t>
      </w:r>
      <w:proofErr w:type="spellStart"/>
      <w:r w:rsidRPr="00C5592A">
        <w:rPr>
          <w:rFonts w:asciiTheme="minorHAnsi" w:hAnsiTheme="minorHAnsi" w:cs="Tahoma"/>
          <w:color w:val="000000" w:themeColor="text1"/>
          <w:lang w:eastAsia="ja-JP"/>
        </w:rPr>
        <w:t>énergétiques</w:t>
      </w:r>
      <w:proofErr w:type="spellEnd"/>
      <w:r w:rsidRPr="00C5592A">
        <w:rPr>
          <w:rFonts w:asciiTheme="minorHAnsi" w:hAnsiTheme="minorHAnsi" w:cs="Tahoma"/>
          <w:color w:val="000000" w:themeColor="text1"/>
          <w:lang w:eastAsia="ja-JP"/>
        </w:rPr>
        <w:t xml:space="preserve"> pour la composition </w:t>
      </w:r>
      <w:proofErr w:type="spellStart"/>
      <w:r w:rsidRPr="00C5592A">
        <w:rPr>
          <w:rFonts w:asciiTheme="minorHAnsi" w:hAnsiTheme="minorHAnsi" w:cs="Tahoma"/>
          <w:color w:val="000000" w:themeColor="text1"/>
          <w:lang w:eastAsia="ja-JP"/>
        </w:rPr>
        <w:t>suivante</w:t>
      </w:r>
      <w:proofErr w:type="spellEnd"/>
      <w:r w:rsidRPr="00C5592A">
        <w:rPr>
          <w:rFonts w:asciiTheme="minorHAnsi" w:hAnsiTheme="minorHAnsi" w:cs="Tahoma"/>
          <w:color w:val="000000" w:themeColor="text1"/>
          <w:lang w:eastAsia="ja-JP"/>
        </w:rPr>
        <w:t xml:space="preserve"> :</w:t>
      </w:r>
    </w:p>
    <w:p w14:paraId="3517D40B" w14:textId="77777777" w:rsidR="00CE306D" w:rsidRPr="00C5592A" w:rsidRDefault="00CE306D" w:rsidP="00C5592A">
      <w:pPr>
        <w:rPr>
          <w:rFonts w:asciiTheme="minorHAnsi" w:hAnsiTheme="minorHAnsi" w:cs="Tahoma"/>
          <w:color w:val="000000" w:themeColor="text1"/>
          <w:lang w:val="nl-NL" w:eastAsia="ja-JP"/>
        </w:rPr>
      </w:pPr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Verre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trempé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de 5 mm /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cavité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sous vide de 0,3 mm / verre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trempé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de 5 mm</w:t>
      </w:r>
    </w:p>
    <w:p w14:paraId="6E2E7047" w14:textId="77777777" w:rsidR="00CE306D" w:rsidRPr="00C5592A" w:rsidRDefault="00CE306D" w:rsidP="00C5592A">
      <w:pPr>
        <w:rPr>
          <w:rFonts w:asciiTheme="minorHAnsi" w:hAnsiTheme="minorHAnsi" w:cs="Tahoma"/>
          <w:color w:val="000000" w:themeColor="text1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C5592A" w:rsidRPr="00C5592A" w14:paraId="2BBB43BF" w14:textId="77777777" w:rsidTr="00E40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6963C2C" w14:textId="77777777" w:rsidR="00CE306D" w:rsidRPr="00C5592A" w:rsidRDefault="00CE306D" w:rsidP="00C5592A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C5592A">
              <w:rPr>
                <w:rFonts w:asciiTheme="minorHAnsi" w:hAnsiTheme="minorHAnsi"/>
                <w:color w:val="000000" w:themeColor="text1"/>
              </w:rPr>
              <w:t>Propriété</w:t>
            </w:r>
            <w:proofErr w:type="spellEnd"/>
          </w:p>
        </w:tc>
        <w:tc>
          <w:tcPr>
            <w:tcW w:w="2337" w:type="dxa"/>
          </w:tcPr>
          <w:p w14:paraId="4C8F1882" w14:textId="77777777" w:rsidR="00CE306D" w:rsidRPr="00C5592A" w:rsidRDefault="00CE306D" w:rsidP="00C55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/>
                <w:color w:val="000000" w:themeColor="text1"/>
              </w:rPr>
              <w:t>Valeur</w:t>
            </w:r>
          </w:p>
        </w:tc>
        <w:tc>
          <w:tcPr>
            <w:tcW w:w="2365" w:type="dxa"/>
          </w:tcPr>
          <w:p w14:paraId="28AC19BB" w14:textId="77777777" w:rsidR="00CE306D" w:rsidRPr="00C5592A" w:rsidRDefault="00CE306D" w:rsidP="00C55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C5592A">
              <w:rPr>
                <w:rFonts w:asciiTheme="minorHAnsi" w:hAnsiTheme="minorHAnsi"/>
                <w:color w:val="000000" w:themeColor="text1"/>
              </w:rPr>
              <w:t>Unité</w:t>
            </w:r>
            <w:proofErr w:type="spellEnd"/>
          </w:p>
        </w:tc>
        <w:tc>
          <w:tcPr>
            <w:tcW w:w="2068" w:type="dxa"/>
          </w:tcPr>
          <w:p w14:paraId="6D63E0FD" w14:textId="77777777" w:rsidR="00CE306D" w:rsidRPr="00C5592A" w:rsidRDefault="00CE306D" w:rsidP="00C55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</w:p>
        </w:tc>
      </w:tr>
      <w:tr w:rsidR="00C5592A" w:rsidRPr="00C5592A" w14:paraId="2430558B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A22B759" w14:textId="77777777" w:rsidR="00CE306D" w:rsidRPr="00C5592A" w:rsidRDefault="00CE306D" w:rsidP="00C5592A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>Valeur</w:t>
            </w:r>
            <w:proofErr w:type="spellEnd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 xml:space="preserve"> </w:t>
            </w:r>
            <w:proofErr w:type="spellStart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>Ug</w:t>
            </w:r>
            <w:proofErr w:type="spellEnd"/>
          </w:p>
        </w:tc>
        <w:tc>
          <w:tcPr>
            <w:tcW w:w="2337" w:type="dxa"/>
          </w:tcPr>
          <w:p w14:paraId="30E0BDAE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0,50*</w:t>
            </w:r>
          </w:p>
        </w:tc>
        <w:tc>
          <w:tcPr>
            <w:tcW w:w="2365" w:type="dxa"/>
          </w:tcPr>
          <w:p w14:paraId="38D988B7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0C5E996B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EN 674</w:t>
            </w:r>
          </w:p>
        </w:tc>
      </w:tr>
      <w:tr w:rsidR="00C5592A" w:rsidRPr="00C5592A" w14:paraId="01FA8CED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6D4E8DC2" w14:textId="77777777" w:rsidR="00CE306D" w:rsidRPr="00C5592A" w:rsidRDefault="00CE306D" w:rsidP="00C5592A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 xml:space="preserve">Facteur de transmission </w:t>
            </w:r>
            <w:proofErr w:type="spellStart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>lumineuse</w:t>
            </w:r>
            <w:proofErr w:type="spellEnd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 xml:space="preserve"> (LTA)</w:t>
            </w:r>
          </w:p>
        </w:tc>
        <w:tc>
          <w:tcPr>
            <w:tcW w:w="2337" w:type="dxa"/>
          </w:tcPr>
          <w:p w14:paraId="79A14AA0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45-47</w:t>
            </w:r>
          </w:p>
        </w:tc>
        <w:tc>
          <w:tcPr>
            <w:tcW w:w="2365" w:type="dxa"/>
          </w:tcPr>
          <w:p w14:paraId="3BB8E5C5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%</w:t>
            </w:r>
          </w:p>
        </w:tc>
        <w:tc>
          <w:tcPr>
            <w:tcW w:w="2068" w:type="dxa"/>
          </w:tcPr>
          <w:p w14:paraId="3F5383F8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</w:p>
        </w:tc>
      </w:tr>
      <w:tr w:rsidR="00C5592A" w:rsidRPr="00C5592A" w14:paraId="078C93F2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3FD0CAF" w14:textId="77777777" w:rsidR="00CE306D" w:rsidRPr="00C5592A" w:rsidRDefault="00CE306D" w:rsidP="00C5592A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C5592A">
              <w:rPr>
                <w:rFonts w:asciiTheme="minorHAnsi" w:hAnsiTheme="minorHAnsi"/>
                <w:b w:val="0"/>
                <w:bCs w:val="0"/>
                <w:color w:val="000000" w:themeColor="text1"/>
              </w:rPr>
              <w:t>Facteur</w:t>
            </w:r>
            <w:proofErr w:type="spellEnd"/>
            <w:r w:rsidRPr="00C5592A">
              <w:rPr>
                <w:rFonts w:asciiTheme="minorHAnsi" w:hAnsiTheme="minorHAns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C5592A">
              <w:rPr>
                <w:rFonts w:asciiTheme="minorHAnsi" w:hAnsiTheme="minorHAnsi"/>
                <w:b w:val="0"/>
                <w:bCs w:val="0"/>
                <w:color w:val="000000" w:themeColor="text1"/>
              </w:rPr>
              <w:t>solaire</w:t>
            </w:r>
            <w:proofErr w:type="spellEnd"/>
            <w:r w:rsidRPr="00C5592A">
              <w:rPr>
                <w:rFonts w:asciiTheme="minorHAnsi" w:hAnsiTheme="minorHAnsi"/>
                <w:b w:val="0"/>
                <w:bCs w:val="0"/>
                <w:color w:val="000000" w:themeColor="text1"/>
              </w:rPr>
              <w:t xml:space="preserve"> (</w:t>
            </w:r>
            <w:proofErr w:type="spellStart"/>
            <w:r w:rsidRPr="00C5592A">
              <w:rPr>
                <w:rFonts w:asciiTheme="minorHAnsi" w:hAnsiTheme="minorHAnsi"/>
                <w:b w:val="0"/>
                <w:bCs w:val="0"/>
                <w:color w:val="000000" w:themeColor="text1"/>
              </w:rPr>
              <w:t>valeur</w:t>
            </w:r>
            <w:proofErr w:type="spellEnd"/>
            <w:r w:rsidRPr="00C5592A">
              <w:rPr>
                <w:rFonts w:asciiTheme="minorHAnsi" w:hAnsiTheme="minorHAnsi"/>
                <w:b w:val="0"/>
                <w:bCs w:val="0"/>
                <w:color w:val="000000" w:themeColor="text1"/>
              </w:rPr>
              <w:t xml:space="preserve"> G)</w:t>
            </w:r>
          </w:p>
        </w:tc>
        <w:tc>
          <w:tcPr>
            <w:tcW w:w="2337" w:type="dxa"/>
          </w:tcPr>
          <w:p w14:paraId="1DDC4BFA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0,29</w:t>
            </w:r>
          </w:p>
        </w:tc>
        <w:tc>
          <w:tcPr>
            <w:tcW w:w="2365" w:type="dxa"/>
          </w:tcPr>
          <w:p w14:paraId="275B7B59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-</w:t>
            </w:r>
          </w:p>
        </w:tc>
        <w:tc>
          <w:tcPr>
            <w:tcW w:w="2068" w:type="dxa"/>
          </w:tcPr>
          <w:p w14:paraId="7B97BF23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</w:p>
        </w:tc>
      </w:tr>
      <w:tr w:rsidR="00C5592A" w:rsidRPr="00C5592A" w14:paraId="25A1F491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7146E47" w14:textId="77777777" w:rsidR="00CE306D" w:rsidRPr="00C5592A" w:rsidRDefault="00CE306D" w:rsidP="00C5592A">
            <w:pPr>
              <w:rPr>
                <w:rFonts w:asciiTheme="minorHAnsi" w:hAnsiTheme="minorHAnsi" w:cs="Tahoma"/>
                <w:color w:val="000000" w:themeColor="text1"/>
              </w:rPr>
            </w:pPr>
            <w:proofErr w:type="spellStart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Réduction</w:t>
            </w:r>
            <w:proofErr w:type="spellEnd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 xml:space="preserve"> du bruit</w:t>
            </w:r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br/>
            </w:r>
            <w:proofErr w:type="spellStart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Rw</w:t>
            </w:r>
            <w:proofErr w:type="spellEnd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 xml:space="preserve"> (</w:t>
            </w:r>
            <w:proofErr w:type="spellStart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C;ctr</w:t>
            </w:r>
            <w:proofErr w:type="spellEnd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2337" w:type="dxa"/>
          </w:tcPr>
          <w:p w14:paraId="25D75896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516E2E36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dB</w:t>
            </w:r>
          </w:p>
        </w:tc>
        <w:tc>
          <w:tcPr>
            <w:tcW w:w="2068" w:type="dxa"/>
          </w:tcPr>
          <w:p w14:paraId="0AEF9E8B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</w:p>
        </w:tc>
      </w:tr>
      <w:tr w:rsidR="00C5592A" w:rsidRPr="00C5592A" w14:paraId="7A6D204A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1302FBF" w14:textId="77777777" w:rsidR="00CE306D" w:rsidRPr="00C5592A" w:rsidRDefault="00CE306D" w:rsidP="00C5592A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Épaisseur</w:t>
            </w:r>
            <w:proofErr w:type="spellEnd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C5592A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réelle</w:t>
            </w:r>
            <w:proofErr w:type="spellEnd"/>
          </w:p>
        </w:tc>
        <w:tc>
          <w:tcPr>
            <w:tcW w:w="2337" w:type="dxa"/>
          </w:tcPr>
          <w:p w14:paraId="40A4A0C2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10,3</w:t>
            </w:r>
          </w:p>
        </w:tc>
        <w:tc>
          <w:tcPr>
            <w:tcW w:w="2365" w:type="dxa"/>
          </w:tcPr>
          <w:p w14:paraId="06B7FB50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C5592A">
              <w:rPr>
                <w:rFonts w:asciiTheme="minorHAnsi" w:hAnsiTheme="minorHAnsi" w:cs="Tahoma"/>
                <w:color w:val="000000" w:themeColor="text1"/>
                <w:lang w:val="nl-NL"/>
              </w:rPr>
              <w:t>mm</w:t>
            </w:r>
          </w:p>
        </w:tc>
        <w:tc>
          <w:tcPr>
            <w:tcW w:w="2068" w:type="dxa"/>
          </w:tcPr>
          <w:p w14:paraId="5B30CE74" w14:textId="77777777" w:rsidR="00CE306D" w:rsidRPr="00C5592A" w:rsidRDefault="00CE306D" w:rsidP="00C5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</w:p>
        </w:tc>
      </w:tr>
    </w:tbl>
    <w:p w14:paraId="477CA327" w14:textId="77777777" w:rsidR="00CE306D" w:rsidRPr="00C5592A" w:rsidRDefault="00CE306D" w:rsidP="00C5592A">
      <w:pPr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138BFB25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7C2E6419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L’aspect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visuel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du vitrage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est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transparent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et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légèrement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bleuté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des deux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côtés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.</w:t>
      </w:r>
    </w:p>
    <w:p w14:paraId="48BC29C9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L’étanchéité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du vitrage sous vide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est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garantie pendant 20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ans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,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conformément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aux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dispositions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du document de garantie du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fabricant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.</w:t>
      </w:r>
    </w:p>
    <w:p w14:paraId="759BCE7F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754DCD1A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Les épaisseurs des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verres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du vitrage sous vide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sont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déterminées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en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fonction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des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dimensions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du vitrage, des charges de vent et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climatiques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, des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contraintes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spécifiques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au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projet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et des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propriétés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mécaniques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inhérentes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au vitrage sous vide.</w:t>
      </w:r>
    </w:p>
    <w:p w14:paraId="44C25F19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6FC71746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Valeur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U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basée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sur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EN 674:2011 et ISO 8302:1991 (TÜV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Rheinland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, 2025).</w:t>
      </w:r>
    </w:p>
    <w:p w14:paraId="43D4C66D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 w:type="column"/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lastRenderedPageBreak/>
        <w:t>____________________________________</w:t>
      </w:r>
    </w:p>
    <w:p w14:paraId="54CD0FF3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59E9BAA3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b/>
          <w:bCs/>
          <w:color w:val="000000" w:themeColor="text1"/>
          <w:lang w:val="nl-NL" w:eastAsia="ja-JP"/>
        </w:rPr>
      </w:pPr>
      <w:r w:rsidRPr="00C5592A">
        <w:rPr>
          <w:rFonts w:asciiTheme="minorHAnsi" w:hAnsiTheme="minorHAnsi" w:cs="Tahoma"/>
          <w:b/>
          <w:bCs/>
          <w:color w:val="000000" w:themeColor="text1"/>
          <w:lang w:val="nl-NL" w:eastAsia="ja-JP"/>
        </w:rPr>
        <w:t>Verre sous vide BENGglas Solar Control – 10,3 mm</w:t>
      </w:r>
    </w:p>
    <w:p w14:paraId="76A9E57D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b/>
          <w:bCs/>
          <w:color w:val="000000" w:themeColor="text1"/>
          <w:lang w:val="nl-NL" w:eastAsia="ja-JP"/>
        </w:rPr>
      </w:pPr>
    </w:p>
    <w:p w14:paraId="6ED5EA4A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épaisseur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: 10,3 mm</w:t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poids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par m² : 21 kg/m²</w:t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  <w:t>Facteur solaire : 0,29</w:t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matière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première : verre</w:t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valeur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LTA : 45-47%</w:t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  <w:t>marque : BENGglas</w:t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Produit_composé_générique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épaisseur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du verre intérieur : 5 mm</w:t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épaisseur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du verre extérieur : 5 mm</w:t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Rw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: 36 (-2;-3) dB(A)</w:t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  <w:t>série : Solar Control</w:t>
      </w:r>
    </w:p>
    <w:p w14:paraId="1F89F8B8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largeur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de la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cavité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: 0,3 mm</w:t>
      </w:r>
      <w:r w:rsidRPr="00C5592A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valeur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U : 0,5 W/m²·K*</w:t>
      </w:r>
    </w:p>
    <w:p w14:paraId="0B176A9C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1C61AC41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Valeur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U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basée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sur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 xml:space="preserve"> EN 674:2011 et ISO 8302:1991 (TÜV </w:t>
      </w:r>
      <w:proofErr w:type="spellStart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Rheinland</w:t>
      </w:r>
      <w:proofErr w:type="spellEnd"/>
      <w:r w:rsidRPr="00C5592A">
        <w:rPr>
          <w:rFonts w:asciiTheme="minorHAnsi" w:hAnsiTheme="minorHAnsi" w:cs="Tahoma"/>
          <w:color w:val="000000" w:themeColor="text1"/>
          <w:lang w:val="nl-NL" w:eastAsia="ja-JP"/>
        </w:rPr>
        <w:t>, 2025).</w:t>
      </w:r>
    </w:p>
    <w:p w14:paraId="6A19FB53" w14:textId="77777777" w:rsidR="00CE306D" w:rsidRPr="00C5592A" w:rsidRDefault="00CE306D" w:rsidP="00C5592A">
      <w:pPr>
        <w:autoSpaceDE w:val="0"/>
        <w:autoSpaceDN w:val="0"/>
        <w:spacing w:before="40" w:after="40"/>
        <w:rPr>
          <w:rFonts w:asciiTheme="minorHAnsi" w:hAnsiTheme="minorHAnsi"/>
          <w:color w:val="000000" w:themeColor="text1"/>
          <w:lang w:val="nl-NL"/>
        </w:rPr>
      </w:pPr>
    </w:p>
    <w:p w14:paraId="174A336F" w14:textId="77777777" w:rsidR="00CE306D" w:rsidRPr="00C5592A" w:rsidRDefault="00CE306D" w:rsidP="00C5592A">
      <w:pPr>
        <w:rPr>
          <w:rFonts w:asciiTheme="minorHAnsi" w:hAnsiTheme="minorHAnsi"/>
          <w:color w:val="000000" w:themeColor="text1"/>
        </w:rPr>
      </w:pPr>
    </w:p>
    <w:sectPr w:rsidR="00CE306D" w:rsidRPr="00C5592A" w:rsidSect="00CE306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25F5" w14:textId="77777777" w:rsidR="00C5592A" w:rsidRDefault="00C5592A">
      <w:r>
        <w:separator/>
      </w:r>
    </w:p>
  </w:endnote>
  <w:endnote w:type="continuationSeparator" w:id="0">
    <w:p w14:paraId="0EA8707D" w14:textId="77777777" w:rsidR="00C5592A" w:rsidRDefault="00C5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E56C" w14:textId="77777777" w:rsidR="00C5592A" w:rsidRDefault="00C5592A">
      <w:r>
        <w:separator/>
      </w:r>
    </w:p>
  </w:footnote>
  <w:footnote w:type="continuationSeparator" w:id="0">
    <w:p w14:paraId="5FE01987" w14:textId="77777777" w:rsidR="00C5592A" w:rsidRDefault="00C5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5B94" w14:textId="77777777" w:rsidR="00CE306D" w:rsidRPr="00242CD7" w:rsidRDefault="00CE306D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Solar Control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657B0" wp14:editId="200EE3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B8476" w14:textId="77777777" w:rsidR="00CE306D" w:rsidRPr="009A2B02" w:rsidRDefault="00CE306D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657B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01CB8476" w14:textId="77777777" w:rsidR="00CE306D" w:rsidRPr="009A2B02" w:rsidRDefault="00CE306D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6D"/>
    <w:rsid w:val="00036EC6"/>
    <w:rsid w:val="00184EB4"/>
    <w:rsid w:val="00C5592A"/>
    <w:rsid w:val="00C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F213"/>
  <w15:chartTrackingRefBased/>
  <w15:docId w15:val="{3BF42C51-3285-436A-89D2-B9D04AE5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306D"/>
    <w:pPr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E30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30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30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30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30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30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30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30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30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3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3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3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30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30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30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30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30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30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3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E3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30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3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30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E30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30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E30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3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30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306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E306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306D"/>
    <w:rPr>
      <w:rFonts w:ascii="Calibri" w:eastAsiaTheme="minorEastAsia" w:hAnsi="Calibri" w:cs="Calibri"/>
      <w:kern w:val="0"/>
      <w:sz w:val="22"/>
      <w:szCs w:val="22"/>
      <w:lang w:val="en-US"/>
      <w14:ligatures w14:val="none"/>
    </w:rPr>
  </w:style>
  <w:style w:type="table" w:styleId="Rastertabel1licht-Accent5">
    <w:name w:val="Grid Table 1 Light Accent 5"/>
    <w:basedOn w:val="Standaardtabel"/>
    <w:uiPriority w:val="46"/>
    <w:rsid w:val="00CE306D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Matuziak</dc:creator>
  <cp:keywords/>
  <dc:description/>
  <cp:lastModifiedBy>Katja Creutzberg</cp:lastModifiedBy>
  <cp:revision>2</cp:revision>
  <dcterms:created xsi:type="dcterms:W3CDTF">2025-11-10T13:36:00Z</dcterms:created>
  <dcterms:modified xsi:type="dcterms:W3CDTF">2025-12-01T05:30:00Z</dcterms:modified>
</cp:coreProperties>
</file>